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  <w:t>附件1：</w:t>
      </w:r>
    </w:p>
    <w:p>
      <w:pPr>
        <w:widowControl/>
        <w:numPr>
          <w:ilvl w:val="0"/>
          <w:numId w:val="1"/>
        </w:numPr>
        <w:spacing w:line="560" w:lineRule="exact"/>
        <w:outlineLvl w:val="9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培训大纲</w:t>
      </w:r>
    </w:p>
    <w:p>
      <w:pPr>
        <w:widowControl/>
        <w:spacing w:line="560" w:lineRule="exact"/>
        <w:ind w:firstLine="42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24130</wp:posOffset>
            </wp:positionV>
            <wp:extent cx="4886325" cy="6607810"/>
            <wp:effectExtent l="0" t="0" r="9525" b="59690"/>
            <wp:wrapTight wrapText="bothSides">
              <wp:wrapPolygon>
                <wp:start x="0" y="0"/>
                <wp:lineTo x="0" y="21546"/>
                <wp:lineTo x="21558" y="21546"/>
                <wp:lineTo x="21558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660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42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-5019675</wp:posOffset>
            </wp:positionH>
            <wp:positionV relativeFrom="paragraph">
              <wp:posOffset>265430</wp:posOffset>
            </wp:positionV>
            <wp:extent cx="4914265" cy="1562100"/>
            <wp:effectExtent l="0" t="0" r="0" b="0"/>
            <wp:wrapTight wrapText="bothSides">
              <wp:wrapPolygon>
                <wp:start x="0" y="0"/>
                <wp:lineTo x="0" y="21337"/>
                <wp:lineTo x="21519" y="21337"/>
                <wp:lineTo x="21519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kern w:val="36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1"/>
        </w:numPr>
        <w:spacing w:line="560" w:lineRule="exact"/>
        <w:ind w:left="0" w:leftChars="0" w:firstLine="0" w:firstLineChars="0"/>
        <w:outlineLvl w:val="0"/>
        <w:rPr>
          <w:rFonts w:hint="eastAsia" w:ascii="黑体" w:hAnsi="黑体" w:eastAsia="黑体" w:cs="黑体"/>
          <w:kern w:val="36"/>
          <w:sz w:val="32"/>
          <w:szCs w:val="32"/>
        </w:rPr>
      </w:pPr>
      <w:r>
        <w:rPr>
          <w:rFonts w:hint="eastAsia" w:ascii="黑体" w:hAnsi="黑体" w:eastAsia="黑体" w:cs="黑体"/>
          <w:kern w:val="36"/>
          <w:sz w:val="32"/>
          <w:szCs w:val="32"/>
        </w:rPr>
        <w:t>讲师介绍</w:t>
      </w:r>
    </w:p>
    <w:p>
      <w:pPr>
        <w:widowControl/>
        <w:numPr>
          <w:numId w:val="0"/>
        </w:numPr>
        <w:spacing w:line="560" w:lineRule="exact"/>
        <w:jc w:val="center"/>
        <w:outlineLvl w:val="0"/>
        <w:rPr>
          <w:rFonts w:hint="eastAsia" w:ascii="黑体" w:hAnsi="黑体" w:eastAsia="黑体" w:cs="黑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36"/>
          <w:sz w:val="32"/>
          <w:szCs w:val="32"/>
        </w:rPr>
        <w:t>吴沙</w:t>
      </w:r>
    </w:p>
    <w:p>
      <w:pPr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睿新中科研究院研究员，IPTA 国际职业培训师、国家二级心理咨询师、国际生涯教练（BCC）、全球职业规划师（GCDF）、国家认证生涯规划师（CMT）。</w:t>
      </w:r>
    </w:p>
    <w:p>
      <w:pPr>
        <w:ind w:firstLine="640" w:firstLineChars="200"/>
        <w:rPr>
          <w:rFonts w:hint="eastAsia"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长期专注于叙事取向、优势取向的本土职业生涯规划的实践和研究，独创“HR 思维训练营”的全新体验式就业指导模式，主研教育部高校就业指导人员专业水平初级认证培训（UCP）、大学生就业指导技能训练（HR 思维训练营）、学生服务技术（SST），参研台湾生涯发展与咨询学会专业生涯咨询师（PCDC）等课程，拥有 8 年高校一线职业生涯规划、就业指导和心理健康教育的工作、教学、咨询和研究经历（其中，包含 4 年专职从事辅导员队伍建设工作），对高校职业生涯规划和就业指导课程设置及机构发展有较深理解。以个体咨询、团体辅导、专题讲座或工作坊相结合的方式，为全国 300 余所高校、中学（含职中）和企业进行过职业生涯规划、就业指导、辅导理论与实务、职场礼仪等培训服务。</w:t>
      </w:r>
    </w:p>
    <w:p>
      <w:pPr>
        <w:ind w:firstLine="640" w:firstLineChars="200"/>
        <w:jc w:val="left"/>
        <w:rPr>
          <w:rFonts w:hint="eastAsia" w:ascii="仿宋_GB2312" w:hAnsi="Calibri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E368C"/>
    <w:multiLevelType w:val="singleLevel"/>
    <w:tmpl w:val="71EE36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4E35"/>
    <w:rsid w:val="05C74E35"/>
    <w:rsid w:val="593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彩色列表 - 着色 11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Calibri" w:hAnsi="Calibri"/>
      <w:kern w:val="0"/>
      <w:sz w:val="22"/>
      <w:lang w:val="yo-NG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2019-11-01T01:40:00Z</dcterms:created>
  <dc:creator>蕙</dc:creator>
  <cp:lastModifiedBy>默然</cp:lastModifiedBy>
  <dcterms:modified xsi:type="dcterms:W3CDTF">2020-10-27T02:18:58Z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