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书宋简体" w:hAnsi="方正书宋简体" w:eastAsia="方正书宋简体" w:cs="方正书宋简体"/>
          <w:sz w:val="40"/>
          <w:szCs w:val="40"/>
          <w:lang w:eastAsia="zh-CN"/>
        </w:rPr>
      </w:pPr>
      <w:r>
        <w:rPr>
          <w:rFonts w:hint="eastAsia" w:ascii="方正书宋简体" w:hAnsi="方正书宋简体" w:eastAsia="方正书宋简体" w:cs="方正书宋简体"/>
          <w:sz w:val="40"/>
          <w:szCs w:val="40"/>
          <w:lang w:eastAsia="zh-CN"/>
        </w:rPr>
        <w:t>南孔圣地·衢州有礼</w:t>
      </w:r>
      <w:r>
        <w:rPr>
          <w:rFonts w:hint="default" w:ascii="方正书宋简体" w:hAnsi="方正书宋简体" w:eastAsia="方正书宋简体" w:cs="方正书宋简体"/>
          <w:sz w:val="40"/>
          <w:szCs w:val="40"/>
          <w:lang w:val="en-US" w:eastAsia="zh-CN"/>
        </w:rPr>
        <w:t>”</w:t>
      </w:r>
      <w:r>
        <w:rPr>
          <w:rFonts w:hint="eastAsia" w:ascii="方正书宋简体" w:hAnsi="方正书宋简体" w:eastAsia="方正书宋简体" w:cs="方正书宋简体"/>
          <w:sz w:val="40"/>
          <w:szCs w:val="40"/>
          <w:lang w:eastAsia="zh-CN"/>
        </w:rPr>
        <w:t>2022湖南·衢州人才周暨“龙凤引·游子归”十万青年汇龙游行动</w:t>
      </w:r>
    </w:p>
    <w:p>
      <w:pPr>
        <w:spacing w:line="560" w:lineRule="exact"/>
        <w:jc w:val="center"/>
        <w:rPr>
          <w:rFonts w:hint="eastAsia" w:ascii="方正书宋简体" w:hAnsi="方正书宋简体" w:eastAsia="方正书宋简体" w:cs="方正书宋简体"/>
          <w:sz w:val="40"/>
          <w:szCs w:val="40"/>
          <w:lang w:eastAsia="zh-CN"/>
        </w:rPr>
      </w:pPr>
      <w:r>
        <w:rPr>
          <w:rFonts w:hint="eastAsia" w:ascii="方正书宋简体" w:hAnsi="方正书宋简体" w:eastAsia="方正书宋简体" w:cs="方正书宋简体"/>
          <w:sz w:val="40"/>
          <w:szCs w:val="40"/>
          <w:lang w:eastAsia="zh-CN"/>
        </w:rPr>
        <w:t>（中南大学站）</w:t>
      </w:r>
    </w:p>
    <w:p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（一）事业单位招聘信息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为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进一步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加强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龙游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县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事业单位人才队伍建设，拓宽高校毕业生就业渠道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，结合</w:t>
      </w:r>
      <w:r>
        <w:rPr>
          <w:rFonts w:hint="eastAsia" w:ascii="宋体" w:hAnsi="宋体"/>
          <w:sz w:val="28"/>
          <w:szCs w:val="28"/>
          <w:highlight w:val="none"/>
        </w:rPr>
        <w:t>我县产业结构转型升级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人才需求</w:t>
      </w:r>
      <w:r>
        <w:rPr>
          <w:rFonts w:hint="eastAsia" w:ascii="宋体" w:hAnsi="宋体"/>
          <w:sz w:val="28"/>
          <w:szCs w:val="28"/>
          <w:highlight w:val="none"/>
        </w:rPr>
        <w:t>，根据《关于加强经济型人才“蓄水池”建设的意见》精神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/>
          <w:sz w:val="28"/>
          <w:szCs w:val="28"/>
          <w:highlight w:val="none"/>
        </w:rPr>
        <w:t>经研究，决定招聘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2023年</w:t>
      </w:r>
      <w:r>
        <w:rPr>
          <w:rFonts w:hint="eastAsia" w:ascii="宋体" w:hAnsi="宋体"/>
          <w:sz w:val="28"/>
          <w:szCs w:val="28"/>
          <w:highlight w:val="none"/>
        </w:rPr>
        <w:t>事业单位工作人员（提前批），现将有关事项公告如下：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一、招聘计划</w:t>
      </w:r>
    </w:p>
    <w:tbl>
      <w:tblPr>
        <w:tblStyle w:val="3"/>
        <w:tblpPr w:leftFromText="180" w:rightFromText="180" w:vertAnchor="text" w:horzAnchor="page" w:tblpXSpec="center" w:tblpY="223"/>
        <w:tblOverlap w:val="never"/>
        <w:tblW w:w="8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825"/>
        <w:gridCol w:w="1095"/>
        <w:gridCol w:w="3825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</w:rPr>
              <w:t>招聘岗位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</w:rPr>
              <w:t>招聘人数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</w:rPr>
              <w:t>学历要求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</w:rPr>
              <w:t>专业要求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信息管理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硕士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</w:rPr>
              <w:t>及以上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计算机科学与技术类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、软件工程类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拟安排到开发区、经信局、住建局、资规局、龙游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瀫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建设管理中心等单位挂职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法律服务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硕士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</w:rPr>
              <w:t>及以上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法律、法学等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硕士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</w:rPr>
              <w:t>及以上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岩土工程，结构工程，市政工程，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建筑与土木工程，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供热、供燃气、通风及空调工程，防灾减灾工程及防护工程，建筑历史与理论，建筑设计及其理论，城市规划与设计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，建筑技术科学、城乡规划学等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55"/>
        <w:textAlignment w:val="auto"/>
        <w:outlineLvl w:val="9"/>
        <w:rPr>
          <w:rFonts w:hint="eastAsia"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二、招聘条件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报考对象应具备爱岗敬业、思想政治素质好、身心健康等基本条件，同时还应具备以下具体条件：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（一）招聘范围：普通高校20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年应届硕士及以上毕业生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（二）年龄和户籍要求：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1988年1月1日及以后出生，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户籍不限。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56"/>
        <w:textAlignment w:val="auto"/>
        <w:outlineLvl w:val="9"/>
        <w:rPr>
          <w:rFonts w:hint="eastAsia"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  <w:lang w:eastAsia="zh-CN"/>
        </w:rPr>
        <w:t>三</w:t>
      </w: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、主要待遇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56"/>
        <w:textAlignment w:val="auto"/>
        <w:outlineLvl w:val="9"/>
        <w:rPr>
          <w:rFonts w:hint="eastAsia"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1、正式聘用后为全额拨款事业编制人员。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55"/>
        <w:textAlignment w:val="auto"/>
        <w:outlineLvl w:val="9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2、实施绩效工资，年人均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工资福利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1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万元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左右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；享受住房公积金、事业单位养老保险、医疗保险、疗休养等福利待遇。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62" w:firstLineChars="200"/>
        <w:textAlignment w:val="auto"/>
        <w:outlineLvl w:val="9"/>
        <w:rPr>
          <w:rFonts w:hint="eastAsia"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  <w:lang w:eastAsia="zh-CN"/>
        </w:rPr>
        <w:t>四</w:t>
      </w: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、招聘程序及办法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62" w:firstLineChars="200"/>
        <w:textAlignment w:val="auto"/>
        <w:outlineLvl w:val="9"/>
        <w:rPr>
          <w:rFonts w:hint="eastAsia"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（一）报名时间和要求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62" w:firstLineChars="200"/>
        <w:textAlignment w:val="auto"/>
        <w:outlineLvl w:val="9"/>
        <w:rPr>
          <w:rFonts w:hint="eastAsia"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</w:rPr>
        <w:t>本次</w:t>
      </w: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  <w:lang w:eastAsia="zh-CN"/>
        </w:rPr>
        <w:t>招聘</w:t>
      </w: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</w:rPr>
        <w:t>采用</w:t>
      </w: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  <w:lang w:eastAsia="zh-CN"/>
        </w:rPr>
        <w:t>现场报名</w:t>
      </w: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</w:rPr>
        <w:t>的方式进行，</w:t>
      </w: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  <w:lang w:eastAsia="zh-CN"/>
        </w:rPr>
        <w:t>网上预报名后还需参加现场报名</w:t>
      </w: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74" w:firstLineChars="205"/>
        <w:textAlignment w:val="auto"/>
        <w:outlineLvl w:val="9"/>
        <w:rPr>
          <w:rFonts w:hint="eastAsia" w:ascii="宋体" w:hAnsi="宋体" w:eastAsia="宋体"/>
          <w:color w:val="0000FF"/>
          <w:sz w:val="28"/>
          <w:szCs w:val="28"/>
          <w:highlight w:val="yellow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1、网上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预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报名：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自公告发布之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日起至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2022年11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下午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17：00止，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报考人员填写《龙游县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产业发展研究院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20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年提前批招聘报名表》（附件1），以电子稿形式发送到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指定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邮箱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。</w:t>
      </w:r>
    </w:p>
    <w:tbl>
      <w:tblPr>
        <w:tblStyle w:val="4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875"/>
        <w:gridCol w:w="1080"/>
        <w:gridCol w:w="2497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主管部门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招聘单位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联系人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报名邮箱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龙游县产业发展研究院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来女士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0570-7014682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13757019052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602835158@qq.com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76" w:firstLineChars="205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现场报名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76" w:firstLineChars="205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yellow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yellow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yellow"/>
          <w:lang w:eastAsia="zh-CN"/>
        </w:rPr>
        <w:t>）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yellow"/>
          <w:lang w:val="en-US" w:eastAsia="zh-CN"/>
        </w:rPr>
        <w:t>2022年12月9日14:00-17:00，中南大学校本部智联厅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76" w:firstLineChars="205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yellow"/>
          <w:lang w:val="en-US" w:eastAsia="zh-CN"/>
        </w:rPr>
        <w:t>（2）2022年12月9日9:00-17:00，地点待定，参加现场报名前请考生联系来女士。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74" w:firstLineChars="205"/>
        <w:textAlignment w:val="auto"/>
        <w:outlineLvl w:val="9"/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报名点（1）仅面向中南大学学生，校外学生请到报名点（2）参加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eastAsia="zh-CN"/>
        </w:rPr>
        <w:t>现场报名。外地毕业生来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长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eastAsia="zh-CN"/>
        </w:rPr>
        <w:t>前，请事先了解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长沙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eastAsia="zh-CN"/>
        </w:rPr>
        <w:t>当地防疫政策，遵守疫情防控各项要求，来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长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eastAsia="zh-CN"/>
        </w:rPr>
        <w:t>途中做好个人防护。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74" w:firstLineChars="205"/>
        <w:textAlignment w:val="auto"/>
        <w:outlineLvl w:val="9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．报名办法：</w:t>
      </w:r>
      <w:r>
        <w:rPr>
          <w:rFonts w:hint="eastAsia" w:ascii="宋体" w:hAnsi="宋体" w:cs="宋体"/>
          <w:color w:val="000000"/>
          <w:sz w:val="28"/>
          <w:szCs w:val="28"/>
        </w:rPr>
        <w:t>请符合条件的报考人员携</w:t>
      </w:r>
      <w:r>
        <w:rPr>
          <w:rFonts w:hint="eastAsia" w:ascii="宋体" w:hAnsi="宋体"/>
          <w:color w:val="000000"/>
          <w:sz w:val="28"/>
          <w:szCs w:val="28"/>
        </w:rPr>
        <w:t>带下列材料原件及复印件（1份）到指定地点报名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74" w:firstLineChars="205"/>
        <w:textAlignment w:val="auto"/>
        <w:outlineLvl w:val="9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身份证，就业推荐表，就业协议书，所就读大学出具的学历证明、政治面貌证明，各类等级（资格）证，各类获奖和荣誉证书，学校出具并盖章的各学期各科学业成绩，以及其它能证明个人相关能力水平的证书或材料。</w:t>
      </w:r>
      <w:r>
        <w:rPr>
          <w:rFonts w:hint="eastAsia" w:ascii="宋体" w:hAnsi="宋体"/>
          <w:color w:val="000000"/>
          <w:sz w:val="28"/>
          <w:szCs w:val="28"/>
        </w:rPr>
        <w:t>报名时还应填写报名表一份，提供2寸正面半身免冠彩色照片1张。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74" w:firstLineChars="205"/>
        <w:textAlignment w:val="auto"/>
        <w:outlineLvl w:val="9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．报名要求：要求如实填写、提供相关材料证明，对提供虚假证明材料的，查实后一律取消聘用资格并通报所在学校。因报考对象延误报名时间、材料证书未按时完整提供等造成后果的，由考生自行承担责任。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textAlignment w:val="auto"/>
        <w:outlineLvl w:val="9"/>
        <w:rPr>
          <w:rFonts w:hint="eastAsia"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 xml:space="preserve">    （二）招聘形式和办法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1．素质考评：根据符合条件报考对象的就读学校、学历层次、学业成绩、技能特长、荣誉获奖以及在校综合表现进行综合素质量化计分，由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招聘单位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根据综合素质评分情况按照一定比例择优通知考生参加面试。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．组织面试：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面试时间、地点另行通知。</w:t>
      </w:r>
      <w:r>
        <w:rPr>
          <w:rFonts w:hint="eastAsia" w:ascii="宋体" w:hAnsi="宋体"/>
          <w:color w:val="000000"/>
          <w:sz w:val="28"/>
          <w:szCs w:val="28"/>
        </w:rPr>
        <w:t>面试主要采取现场面谈的形式，由面试考官与考生通过相关问题的提问和答辩，进一步了解学生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专业素养、</w:t>
      </w:r>
      <w:r>
        <w:rPr>
          <w:rFonts w:hint="eastAsia" w:ascii="宋体" w:hAnsi="宋体"/>
          <w:color w:val="000000"/>
          <w:sz w:val="28"/>
          <w:szCs w:val="28"/>
        </w:rPr>
        <w:t>口头表达、性格特质、素质潜能等方面的表现，由评委组予以量化记分。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．确定签约：按照综合素质得分（40%）和面试得分（60%）的合计分，从高分到低分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择优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确定签约对象（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根据同批考生整体素质情况决定签约人数，面试分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70分以下的不列入签约对象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），并签订就业协议书。签订就业协议的考生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正常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毕业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取得学历学位证书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后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经资格复审、体检、考察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合格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的，正式签订聘用合同。聘用后执行服务期制度，在龙游县事业单位或机关最低服务年限为5年。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70"/>
        <w:textAlignment w:val="auto"/>
        <w:outlineLvl w:val="9"/>
        <w:rPr>
          <w:rFonts w:hint="eastAsia"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五、有下列情况之一，取消聘用资格或解除聘用合同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70"/>
        <w:textAlignment w:val="auto"/>
        <w:outlineLvl w:val="9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1．弄虚作假，提供虚假材料或不符合招聘资格条件的；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70"/>
        <w:textAlignment w:val="auto"/>
        <w:outlineLvl w:val="9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2．体检、考察不合格的；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70"/>
        <w:textAlignment w:val="auto"/>
        <w:outlineLvl w:val="9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3．不服从分配或逾期不报到的；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70"/>
        <w:textAlignment w:val="auto"/>
        <w:outlineLvl w:val="9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4．不能按时取得学历学位和相关执业资格证书的；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70"/>
        <w:textAlignment w:val="auto"/>
        <w:outlineLvl w:val="9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5．其他不符合聘用要求的。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70"/>
        <w:textAlignment w:val="auto"/>
        <w:outlineLvl w:val="9"/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本办法解释权归龙游县人力资源和社会保障局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、龙游县交通运输局。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70"/>
        <w:textAlignment w:val="auto"/>
        <w:outlineLvl w:val="9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70"/>
        <w:textAlignment w:val="auto"/>
        <w:outlineLvl w:val="9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：龙游县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产业发展研究院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20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年提前批招聘报名表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70"/>
        <w:textAlignment w:val="auto"/>
        <w:outlineLvl w:val="9"/>
        <w:rPr>
          <w:rFonts w:hint="eastAsia" w:ascii="仿宋_GB2312" w:hAnsi="宋体" w:eastAsia="仿宋_GB2312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2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龙游县优秀人才招聘综合素质能力考评内</w:t>
      </w:r>
      <w:r>
        <w:rPr>
          <w:rFonts w:hint="eastAsia" w:ascii="宋体" w:hAnsi="宋体" w:cs="宋体"/>
          <w:sz w:val="28"/>
          <w:szCs w:val="28"/>
          <w:highlight w:val="none"/>
        </w:rPr>
        <w:t>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840" w:firstLineChars="300"/>
        <w:jc w:val="right"/>
        <w:textAlignment w:val="auto"/>
        <w:outlineLvl w:val="9"/>
        <w:rPr>
          <w:rFonts w:hint="eastAsia" w:ascii="宋体" w:hAnsi="宋体"/>
          <w:sz w:val="28"/>
          <w:szCs w:val="28"/>
          <w:highlight w:val="none"/>
        </w:rPr>
      </w:pPr>
    </w:p>
    <w:p>
      <w:pPr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br w:type="page"/>
      </w:r>
    </w:p>
    <w:p>
      <w:pPr>
        <w:spacing w:line="560" w:lineRule="exact"/>
        <w:jc w:val="center"/>
        <w:rPr>
          <w:rFonts w:hint="eastAsia" w:ascii="宋体" w:hAnsi="宋体" w:cs="Times New Roman"/>
          <w:b/>
          <w:sz w:val="36"/>
          <w:szCs w:val="36"/>
          <w:lang w:eastAsia="zh-CN"/>
        </w:rPr>
      </w:pPr>
      <w:r>
        <w:rPr>
          <w:rFonts w:hint="eastAsia" w:ascii="宋体" w:hAnsi="宋体" w:cs="Times New Roman"/>
          <w:b/>
          <w:sz w:val="36"/>
          <w:szCs w:val="36"/>
          <w:lang w:eastAsia="zh-CN"/>
        </w:rPr>
        <w:t>（二）企业招聘信息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7"/>
        <w:gridCol w:w="4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招聘单位名称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衢州市浙工大生态工业创新研究院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浙江志高机械股份有限公司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恒盛能源股份有限公司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浙江衢州万能达科技有限公司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维达纸业(浙江)有限公司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浙江开化合成材料有限公司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浙江展宇新材料有限公司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五洲特种纸业集团股份有限公司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浙江金昌特种纸股份有限公司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浙江诺通机车部件有限公司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华邦古楼新材料有限公司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浙江豪邦化工有限公司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龙游伊利乳业有限责任公司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浙江中财管道衍生产品有限公司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华邦特西诺采新材料股份有限公司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杉杉新材料（衢州）有限公司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浙江华塑亚克力科技有限公司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浙江利化新材料科技有限公司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浙江德恒人力资源有限公司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浙江海纳半导体股份有限公司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衢州元立金属制品有限公司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浙江巨化清安检测科技有限公司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开山集团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衢州市聚合环保科技有限公司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中天东方氟硅材料有限公司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江山永利百合实业有限公司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  <w:t>岗位详情预览请扫描以下二维码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935" distR="114935" simplePos="0" relativeHeight="251661312" behindDoc="0" locked="0" layoutInCell="1" allowOverlap="1">
                  <wp:simplePos x="0" y="0"/>
                  <wp:positionH relativeFrom="column">
                    <wp:posOffset>1723390</wp:posOffset>
                  </wp:positionH>
                  <wp:positionV relativeFrom="paragraph">
                    <wp:posOffset>50800</wp:posOffset>
                  </wp:positionV>
                  <wp:extent cx="2104390" cy="2104390"/>
                  <wp:effectExtent l="0" t="0" r="10160" b="10160"/>
                  <wp:wrapTopAndBottom/>
                  <wp:docPr id="3" name="图片 3" descr="d65be70691d185ae98bd71fa074c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be70691d185ae98bd71fa074c6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390" cy="210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textAlignment w:val="auto"/>
        <w:outlineLvl w:val="9"/>
        <w:rPr>
          <w:rFonts w:hint="eastAsia" w:ascii="宋体" w:hAnsi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现场报名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yellow"/>
          <w:lang w:val="en-US" w:eastAsia="zh-CN"/>
        </w:rPr>
        <w:t>2022年12月9日14:00-17:00，中南大学校本部智联厅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3659" w:firstLineChars="1307"/>
        <w:textAlignment w:val="auto"/>
        <w:outlineLvl w:val="9"/>
        <w:rPr>
          <w:rFonts w:hint="eastAsia" w:ascii="宋体" w:hAnsi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textAlignment w:val="auto"/>
        <w:outlineLvl w:val="9"/>
        <w:rPr>
          <w:rFonts w:hint="eastAsia" w:ascii="宋体" w:hAnsi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jc w:val="both"/>
        <w:textAlignment w:val="auto"/>
        <w:rPr>
          <w:rFonts w:hint="eastAsia" w:ascii="方正书宋简体" w:hAnsi="方正书宋简体" w:eastAsia="方正书宋简体" w:cs="方正书宋简体"/>
          <w:sz w:val="32"/>
          <w:szCs w:val="32"/>
          <w:lang w:eastAsia="zh-CN"/>
        </w:rPr>
      </w:pPr>
      <w:r>
        <w:rPr>
          <w:rFonts w:hint="eastAsia" w:ascii="方正书宋简体" w:hAnsi="方正书宋简体" w:eastAsia="方正书宋简体" w:cs="方正书宋简体"/>
          <w:sz w:val="32"/>
          <w:szCs w:val="32"/>
          <w:lang w:eastAsia="zh-CN"/>
        </w:rPr>
        <w:t>【给青年朋友的一封信】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left"/>
        <w:textAlignment w:val="auto"/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  <w:t>青年朋友们: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left"/>
        <w:textAlignment w:val="auto"/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  <w:t>龙凤引，游子归。龙游位于四省边际中心城市衢州之东翼，素有“万年文明，千年古城、百年商帮”之美誉。城市与青年水乳交融，互促共生的故事在这里生动演绎了两千多年，当代更是孕育出5位“两院”院士，系远近闻名的“院士之乡”，院士们开拓进取，坚韧不拔的精神，鼓舞和激励了一代又一代青年人在龙游大地上奋力谱写青春乐章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left"/>
        <w:textAlignment w:val="auto"/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  <w:t>天下事莫不成于才。近年来，龙游县深入实施“人才强县”战略，突出青年优先发展导向，加快建设青年发展型明珠城市，推出了《关于打造更优人才生态加快龙游建设新时代浙西新明珠的意见》等一系列重磅政策，全力支持青年人才创新创业就业，打造青年人才“筑梦之城”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left"/>
        <w:textAlignment w:val="auto"/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color w:val="0000FF"/>
          <w:kern w:val="2"/>
          <w:sz w:val="28"/>
          <w:szCs w:val="28"/>
          <w:lang w:val="en-US" w:eastAsia="zh-CN" w:bidi="ar-SA"/>
        </w:rPr>
        <w:t>这里，诗意繁华，宜居宜业。</w:t>
      </w:r>
      <w:r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  <w:t>龙游物华天宝、人杰地灵，是一座拥有独特禀赋、秀美风景的生态绿城。境内山脉、丘陵、平原、河流兼具，衢江、灵山江“两江”穿城而过，40万亩浙西大竹海坐落其中，自然资源与人文景观融为一体。“公铁水”联运现代化交通体系日益完善，龙游港通江达海，5个高速出口、3座火车站，距衢州、义乌、萧山等机场均在0.5至15小时交通圈内，便利的交通优势正逐步转化为近悦远来的引才优势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left"/>
        <w:textAlignment w:val="auto"/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color w:val="0000FF"/>
          <w:kern w:val="2"/>
          <w:sz w:val="28"/>
          <w:szCs w:val="28"/>
          <w:lang w:val="en-US" w:eastAsia="zh-CN" w:bidi="ar-SA"/>
        </w:rPr>
        <w:t>这里，开放包容，创梦创富。</w:t>
      </w:r>
      <w:r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  <w:t>作为共同富裕示范区建设“缩小地区差距”“改革探索类”两个试点和山区26县跨越式高质量发展生态工业样本县，龙游精准聚焦碳基纸基新材料、精密数控和轨道交通装备两大产业主攻方向，绘制产业链全景图。中浙高铁、禾川科技、云墨碳谷等一批掌握核心技术、实现进口替代的链主型企业纷纷落户、集群发展、势头迅猛，“专精特新”“隐形冠军”企业不断涌现，开发区规划面积33平方公里扩大到66平方公里。当前，“龙游激”8090青年创造季、沿江道路贯通工程、凤翔洲水文化公园六春湖“龙之梦”、bilibili等项目纷沓至来，城市能级不断提升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left"/>
        <w:textAlignment w:val="auto"/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color w:val="0000FF"/>
          <w:kern w:val="2"/>
          <w:sz w:val="28"/>
          <w:szCs w:val="28"/>
          <w:lang w:val="en-US" w:eastAsia="zh-CN" w:bidi="ar-SA"/>
        </w:rPr>
        <w:t>这里，大有可为，成长成才。</w:t>
      </w:r>
      <w:r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  <w:t>我们始终坚持筑巢引雏凤、热土育青苗，积极打造“国字号”“省字号”平台，中国制浆造纸研究院造纸工业生产力促进中心、省级重点实验室等高能级重大人才平台相继落地，仅今年上半年就新建各级人才平台22家。抢抓“一县一产业一高校”契机，与浙工大全方位深化合作，成立浙江省山区26县首家生态工业创新研究院，力争打造支撑龙游乃至衢州跨越式高质量发展的人才集聚高地、技术创新高地、成果转化高地，让青年千事有舞台、成长有空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left"/>
        <w:textAlignment w:val="auto"/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  <w:t>今日之龙游，是一片充满希望的沃土，有的是纷呈的发展机遇、无限的创业商机、广阔的逐梦舞台和优质周到的服务、优惠便利的政策。今日之龙游，青年发展型县域建设的目标任务已明晰，“十万青年汇龙游”的发展蓝图已绘就，比任何时候更需要凝聚各方智慧与力量，更需要青年人才的支撑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left"/>
        <w:textAlignment w:val="auto"/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  <w:t>此有伯乐，待千里马;此有梧桐，望凤来仪。我们诚挚邀请海内外优秀青年人才来到龙游、融入龙游、扎根龙游、成就龙游为建设具有“龙之游”发展活力、“人之居”幸福图景的区域明珠贡献青春力量。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3659" w:firstLineChars="1307"/>
        <w:textAlignment w:val="auto"/>
        <w:outlineLvl w:val="9"/>
        <w:rPr>
          <w:rFonts w:hint="eastAsia" w:ascii="宋体" w:hAnsi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3659" w:firstLineChars="1307"/>
        <w:textAlignment w:val="auto"/>
        <w:outlineLvl w:val="9"/>
        <w:rPr>
          <w:rFonts w:hint="eastAsia" w:ascii="宋体" w:hAnsi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3659" w:firstLineChars="1307"/>
        <w:textAlignment w:val="auto"/>
        <w:outlineLvl w:val="9"/>
        <w:rPr>
          <w:rFonts w:hint="eastAsia" w:ascii="宋体" w:hAnsi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3659" w:firstLineChars="1307"/>
        <w:textAlignment w:val="auto"/>
        <w:outlineLvl w:val="9"/>
        <w:rPr>
          <w:rFonts w:hint="eastAsia" w:ascii="宋体" w:hAnsi="宋体"/>
          <w:sz w:val="28"/>
          <w:szCs w:val="28"/>
          <w:highlight w:val="none"/>
        </w:rPr>
      </w:pPr>
    </w:p>
    <w:p>
      <w:pPr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3659" w:firstLineChars="1307"/>
        <w:textAlignment w:val="auto"/>
        <w:outlineLvl w:val="9"/>
        <w:rPr>
          <w:rFonts w:hint="eastAsia" w:ascii="宋体" w:hAnsi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3659" w:firstLineChars="1307"/>
        <w:textAlignment w:val="auto"/>
        <w:outlineLvl w:val="9"/>
        <w:rPr>
          <w:rFonts w:hint="eastAsia" w:ascii="宋体" w:hAnsi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textAlignment w:val="auto"/>
        <w:outlineLvl w:val="9"/>
        <w:rPr>
          <w:rFonts w:hint="default" w:ascii="宋体" w:hAnsi="宋体" w:eastAsia="宋体"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-439420</wp:posOffset>
                </wp:positionV>
                <wp:extent cx="981075" cy="5048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请关注“龙游人社”微信公众号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.65pt;margin-top:-34.6pt;height:39.75pt;width:77.25pt;z-index:251660288;mso-width-relative:page;mso-height-relative:page;" filled="f" stroked="f" coordsize="21600,21600" o:gfxdata="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CRIp59gA&#10;AAAKAQAADwAAAAAAAAABACAAAAAiAAAAZHJzL2Rvd25yZXYueG1sUEsBAhQAFAAAAAgAh07iQLda&#10;67+tAQAATQ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请关注“龙游人社”微信公众号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5270500</wp:posOffset>
            </wp:positionH>
            <wp:positionV relativeFrom="paragraph">
              <wp:posOffset>-532130</wp:posOffset>
            </wp:positionV>
            <wp:extent cx="691515" cy="679450"/>
            <wp:effectExtent l="0" t="0" r="13335" b="635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28"/>
        </w:rPr>
        <w:t>附件1</w:t>
      </w:r>
    </w:p>
    <w:p>
      <w:pPr>
        <w:spacing w:after="156" w:afterLines="50" w:line="40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龙游县</w:t>
      </w:r>
      <w:r>
        <w:rPr>
          <w:rFonts w:hint="eastAsia" w:ascii="黑体" w:hAnsi="宋体" w:eastAsia="黑体"/>
          <w:b/>
          <w:sz w:val="32"/>
          <w:szCs w:val="32"/>
          <w:lang w:eastAsia="zh-CN"/>
        </w:rPr>
        <w:t>产业发展研究院</w:t>
      </w:r>
      <w:r>
        <w:rPr>
          <w:rFonts w:hint="eastAsia" w:ascii="黑体" w:hAnsi="宋体" w:eastAsia="黑体"/>
          <w:b/>
          <w:bCs/>
          <w:sz w:val="32"/>
          <w:szCs w:val="32"/>
        </w:rPr>
        <w:t>20</w:t>
      </w: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黑体" w:hAnsi="宋体" w:eastAsia="黑体"/>
          <w:b/>
          <w:bCs/>
          <w:sz w:val="32"/>
          <w:szCs w:val="32"/>
        </w:rPr>
        <w:t>年提前批招聘报名表</w:t>
      </w:r>
    </w:p>
    <w:tbl>
      <w:tblPr>
        <w:tblStyle w:val="3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320"/>
        <w:gridCol w:w="866"/>
        <w:gridCol w:w="630"/>
        <w:gridCol w:w="525"/>
        <w:gridCol w:w="578"/>
        <w:gridCol w:w="5"/>
        <w:gridCol w:w="535"/>
        <w:gridCol w:w="601"/>
        <w:gridCol w:w="1274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及入党时间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任职情况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518" w:type="dxa"/>
            <w:gridSpan w:val="6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919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报考单位及岗位</w:t>
            </w:r>
          </w:p>
        </w:tc>
        <w:tc>
          <w:tcPr>
            <w:tcW w:w="2819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毕业院校、时间及专业</w:t>
            </w:r>
          </w:p>
        </w:tc>
        <w:tc>
          <w:tcPr>
            <w:tcW w:w="3919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是否“</w:t>
            </w:r>
            <w:r>
              <w:rPr>
                <w:rFonts w:hint="eastAsia"/>
                <w:szCs w:val="21"/>
                <w:lang w:val="en-US" w:eastAsia="zh-CN"/>
              </w:rPr>
              <w:t>985</w:t>
            </w:r>
            <w:r>
              <w:rPr>
                <w:rFonts w:hint="eastAsia"/>
                <w:szCs w:val="21"/>
              </w:rPr>
              <w:t>”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“</w:t>
            </w:r>
            <w:r>
              <w:rPr>
                <w:rFonts w:hint="eastAsia"/>
                <w:szCs w:val="21"/>
                <w:lang w:val="en-US" w:eastAsia="zh-CN"/>
              </w:rPr>
              <w:t>211</w:t>
            </w:r>
            <w:r>
              <w:rPr>
                <w:rFonts w:hint="eastAsia"/>
                <w:szCs w:val="21"/>
              </w:rPr>
              <w:t>”</w:t>
            </w:r>
            <w:r>
              <w:rPr>
                <w:rFonts w:hint="eastAsia"/>
                <w:szCs w:val="21"/>
                <w:lang w:eastAsia="zh-CN"/>
              </w:rPr>
              <w:t>或</w:t>
            </w:r>
            <w:r>
              <w:rPr>
                <w:rFonts w:hint="eastAsia"/>
                <w:szCs w:val="21"/>
              </w:rPr>
              <w:t>“双一流”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历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位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专业特长</w:t>
            </w:r>
          </w:p>
        </w:tc>
        <w:tc>
          <w:tcPr>
            <w:tcW w:w="2819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年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应届毕业生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聘用后是否服从分配</w:t>
            </w: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手机号码</w:t>
            </w:r>
          </w:p>
        </w:tc>
        <w:tc>
          <w:tcPr>
            <w:tcW w:w="2819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879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（从高中开始）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879" w:type="dxa"/>
            <w:gridSpan w:val="10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3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主要家庭成员及重要社会关系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称谓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姓名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政治面貌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诚信声明</w:t>
            </w:r>
          </w:p>
        </w:tc>
        <w:tc>
          <w:tcPr>
            <w:tcW w:w="7879" w:type="dxa"/>
            <w:gridSpan w:val="10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资格初审</w:t>
            </w:r>
          </w:p>
        </w:tc>
        <w:tc>
          <w:tcPr>
            <w:tcW w:w="3341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年   月   日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资格复核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年   月   日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tbl>
      <w:tblPr>
        <w:tblStyle w:val="3"/>
        <w:tblW w:w="883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  <w:t>龙游县优秀人才招聘综合素质能力考评内</w:t>
            </w:r>
            <w:r>
              <w:rPr>
                <w:rFonts w:hint="eastAsia" w:ascii="宋体" w:hAnsi="宋体" w:cs="宋体"/>
                <w:b/>
                <w:sz w:val="36"/>
                <w:szCs w:val="36"/>
              </w:rPr>
              <w:t>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各类职业资格、等级证书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ZDczZjZiOTIzMWI3YjgwZDhlMDk2NDc5OWI5MmMifQ=="/>
  </w:docVars>
  <w:rsids>
    <w:rsidRoot w:val="00000000"/>
    <w:rsid w:val="00C848BC"/>
    <w:rsid w:val="00D91337"/>
    <w:rsid w:val="00F9257D"/>
    <w:rsid w:val="0147153B"/>
    <w:rsid w:val="01B841E6"/>
    <w:rsid w:val="02493090"/>
    <w:rsid w:val="026B2B36"/>
    <w:rsid w:val="028B36A9"/>
    <w:rsid w:val="02C31095"/>
    <w:rsid w:val="02C468FF"/>
    <w:rsid w:val="032566B1"/>
    <w:rsid w:val="033F712C"/>
    <w:rsid w:val="048C3708"/>
    <w:rsid w:val="05092FAB"/>
    <w:rsid w:val="05300538"/>
    <w:rsid w:val="053A0940"/>
    <w:rsid w:val="06DC2725"/>
    <w:rsid w:val="06FC2DC7"/>
    <w:rsid w:val="072639A0"/>
    <w:rsid w:val="086F5B8B"/>
    <w:rsid w:val="09722398"/>
    <w:rsid w:val="0A8B4DE7"/>
    <w:rsid w:val="0B240453"/>
    <w:rsid w:val="0B3D750A"/>
    <w:rsid w:val="0B8E420A"/>
    <w:rsid w:val="0BC67500"/>
    <w:rsid w:val="0C34090D"/>
    <w:rsid w:val="0C3B1C9C"/>
    <w:rsid w:val="0C4A1EDF"/>
    <w:rsid w:val="0C5114BF"/>
    <w:rsid w:val="0D054058"/>
    <w:rsid w:val="0E2350DD"/>
    <w:rsid w:val="0E6329F1"/>
    <w:rsid w:val="0ED2433F"/>
    <w:rsid w:val="0F792BC6"/>
    <w:rsid w:val="0FB50ECF"/>
    <w:rsid w:val="0FC401FA"/>
    <w:rsid w:val="115C2E3B"/>
    <w:rsid w:val="11AD00B9"/>
    <w:rsid w:val="13925F0E"/>
    <w:rsid w:val="13F07810"/>
    <w:rsid w:val="1482275A"/>
    <w:rsid w:val="158A77F0"/>
    <w:rsid w:val="15DB004C"/>
    <w:rsid w:val="178070FD"/>
    <w:rsid w:val="17B51E7E"/>
    <w:rsid w:val="186B3909"/>
    <w:rsid w:val="18A44AD9"/>
    <w:rsid w:val="18F90F15"/>
    <w:rsid w:val="193C1430"/>
    <w:rsid w:val="1A3916B1"/>
    <w:rsid w:val="1B6D60FB"/>
    <w:rsid w:val="1BC670A8"/>
    <w:rsid w:val="1CC362F6"/>
    <w:rsid w:val="1D392286"/>
    <w:rsid w:val="1DE2466D"/>
    <w:rsid w:val="1DF223D6"/>
    <w:rsid w:val="1F66307C"/>
    <w:rsid w:val="1F6B0692"/>
    <w:rsid w:val="1FE741BD"/>
    <w:rsid w:val="215E6620"/>
    <w:rsid w:val="21845A3B"/>
    <w:rsid w:val="222006E4"/>
    <w:rsid w:val="225064B0"/>
    <w:rsid w:val="22EE5EEA"/>
    <w:rsid w:val="234F5BD5"/>
    <w:rsid w:val="236B51E7"/>
    <w:rsid w:val="238455F8"/>
    <w:rsid w:val="23D5257E"/>
    <w:rsid w:val="25851E17"/>
    <w:rsid w:val="2613738E"/>
    <w:rsid w:val="261D1436"/>
    <w:rsid w:val="27455C6D"/>
    <w:rsid w:val="285A5748"/>
    <w:rsid w:val="29195164"/>
    <w:rsid w:val="2927562A"/>
    <w:rsid w:val="29D357B2"/>
    <w:rsid w:val="29D84B76"/>
    <w:rsid w:val="2A6B1546"/>
    <w:rsid w:val="2B634913"/>
    <w:rsid w:val="2BCC4267"/>
    <w:rsid w:val="2D2D6F87"/>
    <w:rsid w:val="2D56149E"/>
    <w:rsid w:val="2D9F4985"/>
    <w:rsid w:val="2DC23B73"/>
    <w:rsid w:val="2E0917A2"/>
    <w:rsid w:val="2E254102"/>
    <w:rsid w:val="2E5E2D3F"/>
    <w:rsid w:val="2EA96AE1"/>
    <w:rsid w:val="2EAC5F51"/>
    <w:rsid w:val="2F00467C"/>
    <w:rsid w:val="305667F5"/>
    <w:rsid w:val="316A14F3"/>
    <w:rsid w:val="31A11BCB"/>
    <w:rsid w:val="31EB11BF"/>
    <w:rsid w:val="33150BE9"/>
    <w:rsid w:val="34264730"/>
    <w:rsid w:val="34831B82"/>
    <w:rsid w:val="34CB5A03"/>
    <w:rsid w:val="35D94150"/>
    <w:rsid w:val="36993D4E"/>
    <w:rsid w:val="36C10B8A"/>
    <w:rsid w:val="37192BFB"/>
    <w:rsid w:val="37226297"/>
    <w:rsid w:val="38993922"/>
    <w:rsid w:val="396E3AEE"/>
    <w:rsid w:val="3A9351B5"/>
    <w:rsid w:val="3AA30888"/>
    <w:rsid w:val="3B915A92"/>
    <w:rsid w:val="3D007298"/>
    <w:rsid w:val="3DB66B25"/>
    <w:rsid w:val="3DFF671E"/>
    <w:rsid w:val="3E300685"/>
    <w:rsid w:val="3EFE7B0A"/>
    <w:rsid w:val="3FBF6165"/>
    <w:rsid w:val="405C1C05"/>
    <w:rsid w:val="412A7067"/>
    <w:rsid w:val="41313092"/>
    <w:rsid w:val="417B430D"/>
    <w:rsid w:val="41911D83"/>
    <w:rsid w:val="42C616F5"/>
    <w:rsid w:val="44093E52"/>
    <w:rsid w:val="446F4A3C"/>
    <w:rsid w:val="44886287"/>
    <w:rsid w:val="44CF4D7C"/>
    <w:rsid w:val="452627E2"/>
    <w:rsid w:val="45493053"/>
    <w:rsid w:val="45B938B1"/>
    <w:rsid w:val="45C83A2D"/>
    <w:rsid w:val="45CF4C28"/>
    <w:rsid w:val="47AC3472"/>
    <w:rsid w:val="4A1277D9"/>
    <w:rsid w:val="4A2D478B"/>
    <w:rsid w:val="4A860265"/>
    <w:rsid w:val="4A993A56"/>
    <w:rsid w:val="4C312198"/>
    <w:rsid w:val="4D91320E"/>
    <w:rsid w:val="4DE63E90"/>
    <w:rsid w:val="4E241889"/>
    <w:rsid w:val="4E9B5FEF"/>
    <w:rsid w:val="4E9E2941"/>
    <w:rsid w:val="4F786B59"/>
    <w:rsid w:val="50023B9E"/>
    <w:rsid w:val="50A0169A"/>
    <w:rsid w:val="52BF18A4"/>
    <w:rsid w:val="53495206"/>
    <w:rsid w:val="5367649F"/>
    <w:rsid w:val="53A833AB"/>
    <w:rsid w:val="549239F0"/>
    <w:rsid w:val="55473A18"/>
    <w:rsid w:val="55C30FE6"/>
    <w:rsid w:val="55CF5697"/>
    <w:rsid w:val="587A0A23"/>
    <w:rsid w:val="593C3F2A"/>
    <w:rsid w:val="59974C99"/>
    <w:rsid w:val="59F528C6"/>
    <w:rsid w:val="5A2511D3"/>
    <w:rsid w:val="5B646C0C"/>
    <w:rsid w:val="5BE865EB"/>
    <w:rsid w:val="5CAA15D1"/>
    <w:rsid w:val="5D215911"/>
    <w:rsid w:val="5DAE5D25"/>
    <w:rsid w:val="5DCD5A99"/>
    <w:rsid w:val="5F553F98"/>
    <w:rsid w:val="60A056E7"/>
    <w:rsid w:val="61AD00C4"/>
    <w:rsid w:val="61C3168D"/>
    <w:rsid w:val="62A414BE"/>
    <w:rsid w:val="63793B36"/>
    <w:rsid w:val="638F4146"/>
    <w:rsid w:val="63F60DDA"/>
    <w:rsid w:val="646926E3"/>
    <w:rsid w:val="655F16CC"/>
    <w:rsid w:val="66091638"/>
    <w:rsid w:val="66560D21"/>
    <w:rsid w:val="66A852F5"/>
    <w:rsid w:val="673979D4"/>
    <w:rsid w:val="67673C2B"/>
    <w:rsid w:val="67815B0E"/>
    <w:rsid w:val="6B1C1E0E"/>
    <w:rsid w:val="6B5E41D4"/>
    <w:rsid w:val="6C3A254B"/>
    <w:rsid w:val="6CFC5A53"/>
    <w:rsid w:val="6D147240"/>
    <w:rsid w:val="6E600263"/>
    <w:rsid w:val="6EE669BA"/>
    <w:rsid w:val="6FE60AC8"/>
    <w:rsid w:val="70171951"/>
    <w:rsid w:val="70F03B20"/>
    <w:rsid w:val="723E69FA"/>
    <w:rsid w:val="727B1B10"/>
    <w:rsid w:val="72952BD1"/>
    <w:rsid w:val="72B660FC"/>
    <w:rsid w:val="72D354A8"/>
    <w:rsid w:val="72F42D90"/>
    <w:rsid w:val="73762DE7"/>
    <w:rsid w:val="73BF21B1"/>
    <w:rsid w:val="73C372CA"/>
    <w:rsid w:val="74AB7626"/>
    <w:rsid w:val="75C80324"/>
    <w:rsid w:val="75E874BC"/>
    <w:rsid w:val="75FE6CDF"/>
    <w:rsid w:val="7671300D"/>
    <w:rsid w:val="76843C6D"/>
    <w:rsid w:val="775A6197"/>
    <w:rsid w:val="77D53A70"/>
    <w:rsid w:val="786C7F30"/>
    <w:rsid w:val="78F54816"/>
    <w:rsid w:val="79166457"/>
    <w:rsid w:val="7ACF29F8"/>
    <w:rsid w:val="7D355BAC"/>
    <w:rsid w:val="7D3C4583"/>
    <w:rsid w:val="7DBF0F88"/>
    <w:rsid w:val="7F9D1317"/>
    <w:rsid w:val="FFBF5D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3651</Words>
  <Characters>3788</Characters>
  <Lines>0</Lines>
  <Paragraphs>0</Paragraphs>
  <TotalTime>18</TotalTime>
  <ScaleCrop>false</ScaleCrop>
  <LinksUpToDate>false</LinksUpToDate>
  <CharactersWithSpaces>3903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</cp:lastModifiedBy>
  <dcterms:modified xsi:type="dcterms:W3CDTF">2022-11-22T09:18:06Z</dcterms:modified>
  <dc:title>浙江省龙游县部分事业单位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132A25614F9E45B9A1906513BFBFA05B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