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05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</w:pP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p w14:paraId="13DDA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年定向选调生招录急需紧缺专业目录</w:t>
      </w:r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59"/>
      </w:tblGrid>
      <w:tr w14:paraId="385B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 w14:paraId="2220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8059" w:type="dxa"/>
            <w:noWrap w:val="0"/>
            <w:vAlign w:val="center"/>
          </w:tcPr>
          <w:p w14:paraId="2C341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急需紧缺专业</w:t>
            </w:r>
          </w:p>
        </w:tc>
      </w:tr>
      <w:tr w14:paraId="0552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 w14:paraId="3289D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8059" w:type="dxa"/>
            <w:noWrap w:val="0"/>
            <w:vAlign w:val="center"/>
          </w:tcPr>
          <w:p w14:paraId="082E8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 w14:paraId="0C7B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 w14:paraId="2C7D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建筑规划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类</w:t>
            </w:r>
          </w:p>
        </w:tc>
        <w:tc>
          <w:tcPr>
            <w:tcW w:w="8059" w:type="dxa"/>
            <w:noWrap w:val="0"/>
            <w:vAlign w:val="center"/>
          </w:tcPr>
          <w:p w14:paraId="05B6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智能建造（智慧建筑与建造），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给水排水（科学）工程，防灾减灾工程及防护工程，消防工程</w:t>
            </w:r>
          </w:p>
        </w:tc>
      </w:tr>
      <w:tr w14:paraId="39D8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 w14:paraId="4102B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8059" w:type="dxa"/>
            <w:noWrap w:val="0"/>
            <w:vAlign w:val="center"/>
          </w:tcPr>
          <w:p w14:paraId="5694E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14:paraId="13D6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 w14:paraId="5C2A7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 w14:paraId="25AA8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8059" w:type="dxa"/>
            <w:noWrap w:val="0"/>
            <w:vAlign w:val="center"/>
          </w:tcPr>
          <w:p w14:paraId="28FB3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14:paraId="4BA4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 w14:paraId="507B1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8059" w:type="dxa"/>
            <w:noWrap w:val="0"/>
            <w:vAlign w:val="center"/>
          </w:tcPr>
          <w:p w14:paraId="755F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14:paraId="772A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 w14:paraId="20D49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8059" w:type="dxa"/>
            <w:noWrap w:val="0"/>
            <w:vAlign w:val="center"/>
          </w:tcPr>
          <w:p w14:paraId="1092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 w14:paraId="5A3B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 w14:paraId="77A6C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8059" w:type="dxa"/>
            <w:noWrap w:val="0"/>
            <w:vAlign w:val="center"/>
          </w:tcPr>
          <w:p w14:paraId="69DB6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智能科学与技术，信息与计算科学，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机器人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制造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（工程）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数据科学与大数据技术</w:t>
            </w:r>
          </w:p>
        </w:tc>
      </w:tr>
      <w:tr w14:paraId="35E3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 w14:paraId="6B76D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8059" w:type="dxa"/>
            <w:noWrap w:val="0"/>
            <w:vAlign w:val="center"/>
          </w:tcPr>
          <w:p w14:paraId="0D78A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 w14:paraId="4E09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 w14:paraId="432A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8059" w:type="dxa"/>
            <w:noWrap w:val="0"/>
            <w:vAlign w:val="center"/>
          </w:tcPr>
          <w:p w14:paraId="5F60B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 w14:paraId="57F0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 w14:paraId="32FDD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8059" w:type="dxa"/>
            <w:noWrap w:val="0"/>
            <w:vAlign w:val="center"/>
          </w:tcPr>
          <w:p w14:paraId="160A8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基础医学，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口腔医学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中医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，养生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复，卫生监督</w:t>
            </w:r>
          </w:p>
        </w:tc>
      </w:tr>
    </w:tbl>
    <w:p w14:paraId="68BA8A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6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2025-10-28T15:00:26Z</dcterms:created>
  <dc:creator>wlgod</dc:creator>
  <cp:lastModifiedBy>执笔丶述青春</cp:lastModifiedBy>
  <dcterms:modified xsi:type="dcterms:W3CDTF">2025-10-28T15:00:47Z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eyJoZGlkIjoiY2U5YzI0MjJmMmFiOGJjZjAzZjJhNzg3MDM3YzBhMjMiLCJ1c2VySWQiOiI3MzAzODM3OTQifQ==</vt:lpwstr>
  </property>
  <property fmtid="{D5CDD505-2E9C-101B-9397-08002B2CF9AE}" pid="4" name="ICV">
    <vt:lpwstr>1012DB392B33493685E60FC4DD3CEB51_12</vt:lpwstr>
  </property>
</Properties>
</file>